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firstLine="567"/>
        <w:jc w:val="center"/>
        <w:outlineLvl w:val="0"/>
        <w:rPr>
          <w:rFonts w:ascii="Segoe UI" w:hAnsi="Segoe UI"/>
          <w:b/>
          <w:bCs/>
          <w:sz w:val="32"/>
          <w:szCs w:val="32"/>
          <w14:ligatures w14:val="none"/>
        </w:rPr>
      </w:pPr>
      <w:r>
        <w:rPr>
          <w:rFonts w:ascii="Segoe UI" w:hAnsi="Segoe UI"/>
          <w:b/>
          <w:bCs/>
          <w:sz w:val="32"/>
          <w:szCs w:val="32"/>
        </w:rPr>
      </w:r>
      <w:r>
        <w:rPr>
          <w:rFonts w:ascii="Segoe UI" w:hAnsi="Segoe UI"/>
          <w:b/>
          <w:bCs/>
          <w:sz w:val="32"/>
          <w:szCs w:val="32"/>
        </w:rPr>
        <w:t xml:space="preserve">Коллектив Карельского Росреестра получил Благодарственное письмо Президента РФ В. В. Путина</w:t>
      </w:r>
      <w:r>
        <w:rPr>
          <w:rFonts w:ascii="Segoe UI" w:hAnsi="Segoe UI"/>
          <w:b/>
          <w:bCs/>
          <w:sz w:val="32"/>
          <w:szCs w:val="32"/>
          <w14:ligatures w14:val="none"/>
        </w:rPr>
      </w:r>
      <w:r>
        <w:rPr>
          <w:rFonts w:ascii="Segoe UI" w:hAnsi="Segoe UI"/>
          <w:b/>
          <w:bCs/>
          <w:sz w:val="32"/>
          <w:szCs w:val="32"/>
          <w14:ligatures w14:val="none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К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оллектив Карельского Росреестра получил Благодарственное письмо Президента РФ В. В. Путина и Благодарность Первого заместителя Руководителя Администрации Президента РФ С. В. Кириенко за активное участие во Всероссийской донорской акции "Поколение добра". Ц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ель акции - сплочение молодого поколения вокруг одной из важнейших социальных задач.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 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Рукодитель Управления Росреестра Анна Кондратьева на встрече с главным врачом Республиканской станции переливания крови И. Г. Пушкарёвой обсудили вопросы важности донорства крови и её компонентов, необходимости формирования донорской культуры, развеивания 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мифов, сомнений и предрассудков, поговорили о планах на будущее.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Каждый донор — герой, который отдаёт частичку себя. Донорство — это шанс спасти чью-то жизнь и подарить надежду. Это акт милосердия, благородства и гражданской ответственности.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Каждая капля имеет значение. Всего 450 мл крови могут помочь сразу трём пациентам. Это действительно важно. Присоединяйтесь к донорскому движению!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1417" w:bottom="720" w:left="1560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65</cp:revision>
  <dcterms:created xsi:type="dcterms:W3CDTF">2023-06-13T09:29:00Z</dcterms:created>
  <dcterms:modified xsi:type="dcterms:W3CDTF">2025-06-23T06:08:09Z</dcterms:modified>
</cp:coreProperties>
</file>