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suppressLineNumbers w:val="0"/>
        <w:spacing w:before="0" w:after="0" w:line="85" w:lineRule="atLeast"/>
        <w:ind w:firstLine="567"/>
        <w:contextualSpacing w:val="0"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</w:rPr>
        <w:t xml:space="preserve">Общее имущество СНТ: новое в законодательстве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942"/>
        <w:suppressLineNumbers w:val="0"/>
        <w:spacing w:before="0" w:after="0" w:line="85" w:lineRule="atLeast"/>
        <w:ind w:firstLine="567"/>
        <w:contextualSpacing w:val="0"/>
        <w:jc w:val="center"/>
        <w:rPr>
          <w:rFonts w:ascii="Roboto" w:hAnsi="Roboto" w:eastAsia="Roboto" w:cs="Roboto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shd w:val="clear" w:color="auto" w:fill="ffffff"/>
        </w:rPr>
      </w:pPr>
      <w:r>
        <w:rPr>
          <w:rStyle w:val="887"/>
          <w:rFonts w:ascii="Times New Roman" w:hAnsi="Times New Roman" w:cs="Times New Roman"/>
          <w:b w:val="0"/>
          <w:i w:val="0"/>
          <w:color w:val="0f1115"/>
          <w:sz w:val="28"/>
          <w:szCs w:val="28"/>
          <w:shd w:val="clear" w:color="auto" w:fill="ffffff"/>
        </w:rPr>
        <w:t xml:space="preserve">Владельцы садовых участков в России имеют право оформить в общую долевую собственность имущество общего пользования своего товарищества (СНТ)</w:t>
      </w:r>
      <w:r>
        <w:rPr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 xml:space="preserve">. </w:t>
      </w:r>
      <w:r>
        <w:rPr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 xml:space="preserve">Оформление общего имущества в собственность </w:t>
      </w:r>
      <w:r>
        <w:rPr>
          <w:rStyle w:val="943"/>
          <w:rFonts w:ascii="Times New Roman" w:hAnsi="Times New Roman" w:cs="Times New Roman"/>
          <w:i w:val="0"/>
          <w:color w:val="000000"/>
          <w:sz w:val="28"/>
          <w:szCs w:val="28"/>
        </w:rPr>
        <w:t xml:space="preserve">исключ</w:t>
      </w:r>
      <w:r>
        <w:rPr>
          <w:rStyle w:val="943"/>
          <w:rFonts w:ascii="Times New Roman" w:hAnsi="Times New Roman" w:cs="Times New Roman"/>
          <w:i w:val="0"/>
          <w:color w:val="000000"/>
          <w:sz w:val="28"/>
          <w:szCs w:val="28"/>
        </w:rPr>
        <w:t xml:space="preserve">ает</w:t>
      </w:r>
      <w:r>
        <w:rPr>
          <w:rStyle w:val="943"/>
          <w:rFonts w:ascii="Times New Roman" w:hAnsi="Times New Roman" w:cs="Times New Roman"/>
          <w:i w:val="0"/>
          <w:color w:val="000000"/>
          <w:sz w:val="28"/>
          <w:szCs w:val="28"/>
        </w:rPr>
        <w:t xml:space="preserve"> возможность его передачи третьим лицам без согласия всех членов СНТ</w:t>
      </w:r>
      <w:r>
        <w:rPr>
          <w:rStyle w:val="943"/>
          <w:rFonts w:ascii="Liberation Sans" w:hAnsi="Liberation Sans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  <w:t xml:space="preserve">и гарантирует, что даже в случае банкротства или ликвидации товарищества инфрастр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уктура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СНТ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останется у владельцев участков.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shd w:val="clear" w:color="auto" w:fill="ffffff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Имущество общего пользования СНТ – это земельные участки и находящиеся на них объекты, расположенные в границах СНТ, и используемые для удовлетворения общих потребностей граждан, ведущих садоводство и огородничество на указанной территории. К имуществу общ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его пользования СНТ относятся до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роги общего пользования, инженерно-технические сети (электрические сети, газо-, водопроводы), места сбора коммунальных отходов, объекты капитального строительства и земельные участки общего назначения, спортивные площадки и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иное имущество.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cs="Times New Roman"/>
          <w:i w:val="0"/>
          <w:color w:val="0f1115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ым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ом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(Закон № 217-ФЗ)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созданное или приобретенное общее имущество СНТ находится в общей долевой собственности собственников садовых участков в границах территории садоводства. </w:t>
      </w: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Существующая процедура оформления та</w:t>
      </w: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кого имущества достаточ</w:t>
      </w: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но сложная и продолжительная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: необходимо провести общее собрание членов СНТ,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оформить протокол собрания,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обратиться в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территориальный орган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с заявлением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о государственной регистрации права общей долевой собственности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Росреестром</w:t>
      </w: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 разработан законопроект, </w:t>
      </w:r>
      <w:r>
        <w:rPr>
          <w:rFonts w:ascii="Times New Roman" w:hAnsi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который призван облегчить процесс оформления прав на общее имущество в СНТ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  <w:t xml:space="preserve">Заместитель руководителя Управления Росреестра по Республике Карелия </w:t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  <w:t xml:space="preserve">Татьяна Поляков</w:t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color w:val="0f1115"/>
          <w:sz w:val="28"/>
          <w:szCs w:val="28"/>
          <w:highlight w:val="none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highlight w:val="none"/>
        </w:rPr>
        <w:t xml:space="preserve">«Законопроектом предпол</w:t>
      </w:r>
      <w:r>
        <w:rPr>
          <w:rFonts w:ascii="Times New Roman" w:hAnsi="Times New Roman" w:cs="Times New Roman"/>
          <w:bCs w:val="0"/>
          <w:i/>
          <w:iCs/>
          <w:color w:val="0f1115"/>
          <w:sz w:val="28"/>
          <w:szCs w:val="28"/>
          <w:highlight w:val="none"/>
        </w:rPr>
        <w:t xml:space="preserve">агаются изменения, упрощающие механизм 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оформление прав на недвижимое имущество общего пользования СНТ.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:highlight w:val="none"/>
        </w:rPr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Предполагается, что 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н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едвижи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мое имущество, относящееся к имуществу общего пользования, будет переходить бесплатно в общую долевую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, пропорционально площади таких земельных участков, со дня осуществления их государственного кадастрового учета.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Т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о есть право собственности на такие объекты возникнет в силу закона с момента постановки объектов на кадастровый учет в Росреестре - по аналогии с общим имуществом собственников помещений в многоквартирных домах</w:t>
      </w:r>
      <w:r>
        <w:rPr>
          <w:rFonts w:ascii="Times New Roman" w:hAnsi="Times New Roman" w:cs="Times New Roman"/>
          <w:i/>
          <w:iCs/>
          <w:color w:val="0f1115"/>
          <w:sz w:val="28"/>
          <w:szCs w:val="28"/>
        </w:rPr>
        <w:t xml:space="preserve">.»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Министр имущественных и земельных отношений Республики Карелия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Наталья Тенчурина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отмечает актуальность предполагаемых нововведений: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firstLine="851"/>
        <w:jc w:val="both"/>
        <w:rPr>
          <w:rFonts w:ascii="Times New Roman" w:hAnsi="Times New Roman" w:cs="Times New Roman"/>
          <w:i w:val="0"/>
          <w:iCs w:val="0"/>
          <w:color w:val="0f1115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, предусматривающие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возник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новени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права общей собственности на земельный участок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общего назначения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в силу закона,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существенно упро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стят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процедуру оформления прав на общее имущество СНТ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сократ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ят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 временные и финансовые затраты садоводов</w:t>
      </w:r>
      <w:r>
        <w:rPr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  <w14:ligatures w14:val="none"/>
        </w:rPr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  <w14:ligatures w14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 настоящее время п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роект нормативного правового акта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проходит этап подведения итогов общественного обсуждения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</w:p>
    <w:p>
      <w:pPr>
        <w:pStyle w:val="86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432" w:hanging="432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576" w:hanging="576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720" w:hanging="72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864" w:hanging="864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008" w:hanging="1008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152" w:hanging="1152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296" w:hanging="1296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440" w:hanging="144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584" w:hanging="1584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ind w:left="720"/>
      <w:contextualSpacing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3" w:customStyle="1">
    <w:name w:val="docdata"/>
    <w:basedOn w:val="73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25</cp:revision>
  <dcterms:created xsi:type="dcterms:W3CDTF">2024-07-05T06:34:00Z</dcterms:created>
  <dcterms:modified xsi:type="dcterms:W3CDTF">2026-03-30T09:23:43Z</dcterms:modified>
</cp:coreProperties>
</file>